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3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306"/>
        <w:gridCol w:w="1173"/>
        <w:gridCol w:w="1276"/>
        <w:gridCol w:w="1276"/>
        <w:gridCol w:w="1376"/>
        <w:gridCol w:w="1371"/>
      </w:tblGrid>
      <w:tr w:rsidR="00C2384A" w:rsidTr="00932102">
        <w:trPr>
          <w:trHeight w:val="92"/>
          <w:jc w:val="center"/>
        </w:trPr>
        <w:tc>
          <w:tcPr>
            <w:tcW w:w="4531" w:type="dxa"/>
            <w:gridSpan w:val="3"/>
            <w:shd w:val="clear" w:color="auto" w:fill="8064A2" w:themeFill="accent4"/>
          </w:tcPr>
          <w:p w:rsidR="00C23627" w:rsidRPr="006E4500" w:rsidRDefault="00C23627" w:rsidP="003971D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Product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Initial Commission</w:t>
            </w:r>
            <w:r w:rsidR="00712781"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 xml:space="preserve"> (year 1)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Trail Commission</w:t>
            </w:r>
          </w:p>
        </w:tc>
        <w:tc>
          <w:tcPr>
            <w:tcW w:w="1376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Renewal Commission</w:t>
            </w:r>
          </w:p>
        </w:tc>
        <w:tc>
          <w:tcPr>
            <w:tcW w:w="1371" w:type="dxa"/>
            <w:shd w:val="clear" w:color="auto" w:fill="E5DFEC" w:themeFill="accent4" w:themeFillTint="33"/>
          </w:tcPr>
          <w:p w:rsidR="00C23627" w:rsidRPr="00576D12" w:rsidRDefault="00C23627" w:rsidP="003971D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</w:pPr>
            <w:r w:rsidRPr="00576D12">
              <w:rPr>
                <w:rFonts w:asciiTheme="minorHAnsi" w:hAnsiTheme="minorHAnsi" w:cs="Arial"/>
                <w:b/>
                <w:color w:val="45555F"/>
                <w:sz w:val="20"/>
                <w:szCs w:val="20"/>
              </w:rPr>
              <w:t>Other Commission</w:t>
            </w: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6809FF" w:rsidRPr="006E4500" w:rsidRDefault="004A24DE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Unit Linked </w:t>
            </w:r>
            <w:r w:rsidR="006809FF" w:rsidRPr="006E4500">
              <w:rPr>
                <w:b/>
                <w:color w:val="FFFFFF" w:themeColor="background1"/>
              </w:rPr>
              <w:t>Pension Products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Pre-Retirement</w:t>
            </w:r>
          </w:p>
          <w:p w:rsidR="00957667" w:rsidRPr="006E4500" w:rsidRDefault="00957667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 xml:space="preserve">(PP, </w:t>
            </w:r>
            <w:r w:rsidR="000945E4" w:rsidRPr="006E4500">
              <w:rPr>
                <w:b/>
                <w:color w:val="FFFFFF" w:themeColor="background1"/>
              </w:rPr>
              <w:t xml:space="preserve">PRSA, </w:t>
            </w:r>
            <w:r w:rsidRPr="006E4500">
              <w:rPr>
                <w:b/>
                <w:color w:val="FFFFFF" w:themeColor="background1"/>
              </w:rPr>
              <w:t>CP &amp; PRB)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77F37" w:rsidRDefault="006809FF" w:rsidP="00C77F37">
            <w:pPr>
              <w:pStyle w:val="NormalWeb"/>
              <w:spacing w:before="0" w:beforeAutospacing="0"/>
              <w:rPr>
                <w:rFonts w:asciiTheme="minorHAnsi" w:hAnsiTheme="minorHAnsi" w:cs="Arial"/>
                <w:color w:val="45555F"/>
                <w:sz w:val="6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91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17.5%</w:t>
            </w:r>
          </w:p>
          <w:p w:rsidR="00F70C40" w:rsidRPr="00C23627" w:rsidRDefault="00F70C40" w:rsidP="00F5341C">
            <w:pPr>
              <w:pStyle w:val="NormalWeb"/>
              <w:spacing w:before="24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 trail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Default="00712781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  <w:p w:rsidR="0059234F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17.5% </w:t>
            </w:r>
          </w:p>
          <w:p w:rsidR="00F70C40" w:rsidRPr="00C23627" w:rsidRDefault="00F70C40" w:rsidP="0059234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(Bullets</w:t>
            </w:r>
            <w:r w:rsidR="00E925EB"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X 3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)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C476FD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6809FF" w:rsidRPr="00C23627" w:rsidRDefault="0033777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6809FF" w:rsidRPr="00C23627" w:rsidRDefault="00957667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45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Unit Linked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Pension products</w:t>
            </w:r>
          </w:p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Post Retirement (ARF / AMRF)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br/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7C19DD" w:rsidRDefault="007C19DD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37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7C19DD" w:rsidRPr="006E4500" w:rsidRDefault="007C19DD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7C19DD" w:rsidRPr="006E4500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0.75%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7C19DD" w:rsidRPr="00C23627" w:rsidRDefault="007C19DD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8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Guaranteed Annuity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D00C6F" w:rsidRDefault="00D00C6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D00C6F" w:rsidRPr="006E4500" w:rsidRDefault="00D00C6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D00C6F" w:rsidRPr="006E4500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132D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D00C6F" w:rsidRDefault="00D00C6F" w:rsidP="00D00C6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Bonds</w:t>
            </w:r>
          </w:p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945E4" w:rsidRPr="006E4500" w:rsidRDefault="006809FF" w:rsidP="00084800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6809FF" w:rsidRPr="006E4500" w:rsidRDefault="006809FF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6809FF" w:rsidRPr="00C23627" w:rsidRDefault="006809FF" w:rsidP="006809FF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25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945E4" w:rsidRPr="006E4500" w:rsidRDefault="000945E4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945E4" w:rsidRPr="006E4500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3%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945E4" w:rsidRPr="00C23627" w:rsidRDefault="000945E4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RPr="00C23627" w:rsidTr="00932102">
        <w:trPr>
          <w:trHeight w:val="29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Investment Only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Single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RPr="00C23627" w:rsidTr="00932102">
        <w:trPr>
          <w:trHeight w:val="196"/>
          <w:jc w:val="center"/>
        </w:trPr>
        <w:tc>
          <w:tcPr>
            <w:tcW w:w="2052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5%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0.5%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  <w:tr w:rsidR="00C2384A" w:rsidTr="00932102">
        <w:trPr>
          <w:trHeight w:val="50"/>
          <w:jc w:val="center"/>
        </w:trPr>
        <w:tc>
          <w:tcPr>
            <w:tcW w:w="2052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jc w:val="center"/>
              <w:rPr>
                <w:b/>
                <w:color w:val="FFFFFF" w:themeColor="background1"/>
              </w:rPr>
            </w:pPr>
            <w:r w:rsidRPr="006E4500">
              <w:rPr>
                <w:b/>
                <w:color w:val="FFFFFF" w:themeColor="background1"/>
              </w:rPr>
              <w:t>Savings Products</w:t>
            </w:r>
          </w:p>
        </w:tc>
        <w:tc>
          <w:tcPr>
            <w:tcW w:w="1306" w:type="dxa"/>
            <w:vMerge w:val="restart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Annual Premium</w:t>
            </w: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7C19DD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E5DFEC" w:themeFill="accent4" w:themeFillTint="33"/>
          </w:tcPr>
          <w:p w:rsidR="00084800" w:rsidRPr="00C23627" w:rsidRDefault="00084800" w:rsidP="000945E4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</w:tc>
      </w:tr>
      <w:tr w:rsidR="00C2384A" w:rsidTr="00932102">
        <w:trPr>
          <w:trHeight w:val="979"/>
          <w:jc w:val="center"/>
        </w:trPr>
        <w:tc>
          <w:tcPr>
            <w:tcW w:w="2052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06" w:type="dxa"/>
            <w:vMerge/>
            <w:shd w:val="clear" w:color="auto" w:fill="8064A2" w:themeFill="accent4"/>
          </w:tcPr>
          <w:p w:rsidR="00084800" w:rsidRPr="006E4500" w:rsidRDefault="00084800" w:rsidP="000945E4">
            <w:pPr>
              <w:pStyle w:val="NormalWeb"/>
              <w:spacing w:before="0" w:beforeAutospacing="0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8064A2" w:themeFill="accent4"/>
            <w:vAlign w:val="center"/>
          </w:tcPr>
          <w:p w:rsidR="00084800" w:rsidRPr="006E45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E4500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Max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084800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5.5%</w:t>
            </w:r>
          </w:p>
          <w:p w:rsidR="00E925EB" w:rsidRPr="00C23627" w:rsidRDefault="00E925EB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(1</w:t>
            </w:r>
            <w:r w:rsidRPr="00C532C0">
              <w:rPr>
                <w:rFonts w:asciiTheme="minorHAnsi" w:hAnsiTheme="minorHAnsi" w:cs="Arial"/>
                <w:color w:val="45555F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 Bullet)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B4595D" w:rsidRPr="00C23627" w:rsidRDefault="00084800" w:rsidP="00C77F37">
            <w:pPr>
              <w:pStyle w:val="NormalWeb"/>
              <w:spacing w:before="360" w:beforeAutospacing="0" w:after="12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0.25% trail to year 8, 0.5% trail from year 9</w:t>
            </w:r>
          </w:p>
        </w:tc>
        <w:tc>
          <w:tcPr>
            <w:tcW w:w="1376" w:type="dxa"/>
            <w:shd w:val="clear" w:color="auto" w:fill="E5DFEC" w:themeFill="accent4" w:themeFillTint="33"/>
            <w:vAlign w:val="center"/>
          </w:tcPr>
          <w:p w:rsidR="00444CBA" w:rsidRDefault="00E925EB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 xml:space="preserve">5.5% </w:t>
            </w:r>
          </w:p>
          <w:p w:rsidR="00444CBA" w:rsidRDefault="00444CBA" w:rsidP="00444C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</w:p>
          <w:p w:rsidR="00E925EB" w:rsidRPr="00C23627" w:rsidRDefault="00E925EB" w:rsidP="00444CBA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Bullets X 3</w:t>
            </w:r>
          </w:p>
        </w:tc>
        <w:tc>
          <w:tcPr>
            <w:tcW w:w="1371" w:type="dxa"/>
            <w:shd w:val="clear" w:color="auto" w:fill="E5DFEC" w:themeFill="accent4" w:themeFillTint="33"/>
            <w:vAlign w:val="center"/>
          </w:tcPr>
          <w:p w:rsidR="00084800" w:rsidRPr="00C23627" w:rsidRDefault="00084800" w:rsidP="00DE4F29">
            <w:pPr>
              <w:pStyle w:val="NormalWeb"/>
              <w:spacing w:before="0" w:beforeAutospacing="0"/>
              <w:jc w:val="center"/>
              <w:rPr>
                <w:rFonts w:asciiTheme="minorHAnsi" w:hAnsiTheme="minorHAnsi" w:cs="Arial"/>
                <w:color w:val="45555F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5555F"/>
                <w:sz w:val="18"/>
                <w:szCs w:val="18"/>
              </w:rPr>
              <w:t>N/A</w:t>
            </w:r>
          </w:p>
        </w:tc>
      </w:tr>
    </w:tbl>
    <w:p w:rsidR="001B6856" w:rsidRPr="00C77F37" w:rsidRDefault="001B6856" w:rsidP="002F394D">
      <w:pPr>
        <w:spacing w:before="480" w:after="120" w:line="240" w:lineRule="auto"/>
        <w:rPr>
          <w:b/>
          <w:sz w:val="2"/>
          <w:u w:val="single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41"/>
        <w:gridCol w:w="1467"/>
        <w:gridCol w:w="2205"/>
        <w:gridCol w:w="3129"/>
      </w:tblGrid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Additional (annual)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1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100%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2 - 5: 20%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3%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6: 6%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2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25%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25%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28%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2 - 10: 28%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11: 13%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3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20%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23%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23% indexed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Option 4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Level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12%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level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80% Indexed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2: 15%</w:t>
            </w:r>
            <w:r w:rsidR="001A3DA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indexed</w:t>
            </w:r>
          </w:p>
        </w:tc>
      </w:tr>
      <w:tr w:rsidR="00C77F37" w:rsidRPr="00C77F37" w:rsidTr="007676ED">
        <w:trPr>
          <w:trHeight w:val="321"/>
          <w:jc w:val="center"/>
        </w:trPr>
        <w:tc>
          <w:tcPr>
            <w:tcW w:w="15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Default Profile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30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 </w:t>
            </w:r>
          </w:p>
        </w:tc>
        <w:tc>
          <w:tcPr>
            <w:tcW w:w="1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Yr1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Additional 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Renewal (annual)</w:t>
            </w:r>
          </w:p>
        </w:tc>
      </w:tr>
      <w:tr w:rsidR="00C77F37" w:rsidRPr="00C77F37" w:rsidTr="007676ED">
        <w:trPr>
          <w:trHeight w:val="185"/>
          <w:jc w:val="center"/>
        </w:trPr>
        <w:tc>
          <w:tcPr>
            <w:tcW w:w="15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593405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color w:val="FFFFFF" w:themeColor="background1"/>
                <w:lang w:eastAsia="en-IE"/>
              </w:rPr>
              <w:t>Max</w:t>
            </w:r>
          </w:p>
        </w:tc>
        <w:tc>
          <w:tcPr>
            <w:tcW w:w="14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7676ED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676ED">
              <w:rPr>
                <w:rFonts w:ascii="Calibri" w:eastAsia="Times New Roman" w:hAnsi="Calibri" w:cs="Calibri"/>
                <w:color w:val="000000"/>
                <w:lang w:eastAsia="en-IE"/>
              </w:rPr>
              <w:t>120%</w:t>
            </w:r>
          </w:p>
        </w:tc>
        <w:tc>
          <w:tcPr>
            <w:tcW w:w="22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Year 3 &amp; Year 6: 30%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From Year 7: 3% level </w:t>
            </w:r>
          </w:p>
        </w:tc>
      </w:tr>
      <w:tr w:rsidR="00C77F37" w:rsidRPr="00C77F37" w:rsidTr="007676ED">
        <w:trPr>
          <w:trHeight w:val="175"/>
          <w:jc w:val="center"/>
        </w:trPr>
        <w:tc>
          <w:tcPr>
            <w:tcW w:w="15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4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20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C77F37" w:rsidRPr="00C77F37" w:rsidRDefault="00C77F37" w:rsidP="00C77F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7F37">
              <w:rPr>
                <w:rFonts w:ascii="Calibri" w:eastAsia="Times New Roman" w:hAnsi="Calibri" w:cs="Calibri"/>
                <w:color w:val="000000"/>
                <w:lang w:eastAsia="en-IE"/>
              </w:rPr>
              <w:t>From Year 7: 6% indexed</w:t>
            </w:r>
          </w:p>
        </w:tc>
      </w:tr>
    </w:tbl>
    <w:p w:rsidR="00C2384A" w:rsidRDefault="00C2384A" w:rsidP="00111564">
      <w:pPr>
        <w:spacing w:before="480" w:after="120" w:line="240" w:lineRule="auto"/>
        <w:ind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t>Group P</w:t>
      </w:r>
      <w:r w:rsidRPr="00EA2FB8">
        <w:rPr>
          <w:b/>
          <w:sz w:val="24"/>
          <w:u w:val="single"/>
        </w:rPr>
        <w:t>rotection</w:t>
      </w:r>
    </w:p>
    <w:tbl>
      <w:tblPr>
        <w:tblStyle w:val="TableGrid"/>
        <w:tblW w:w="4307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55"/>
        <w:gridCol w:w="2252"/>
      </w:tblGrid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Renewal commission</w:t>
            </w:r>
          </w:p>
        </w:tc>
        <w:bookmarkStart w:id="0" w:name="_GoBack"/>
        <w:bookmarkEnd w:id="0"/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Life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6%</w:t>
            </w: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Income protection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  <w:tr w:rsidR="00C77F37" w:rsidRPr="00EA2FB8" w:rsidTr="005E2E2C">
        <w:trPr>
          <w:trHeight w:val="242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Serious Illness Cover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</w:p>
        </w:tc>
      </w:tr>
      <w:tr w:rsidR="00C77F37" w:rsidRPr="00EA2FB8" w:rsidTr="005E2E2C">
        <w:trPr>
          <w:trHeight w:val="236"/>
        </w:trPr>
        <w:tc>
          <w:tcPr>
            <w:tcW w:w="2055" w:type="dxa"/>
            <w:shd w:val="clear" w:color="auto" w:fill="8064A2" w:themeFill="accent4"/>
          </w:tcPr>
          <w:p w:rsidR="00C77F37" w:rsidRPr="00593405" w:rsidRDefault="00C77F37" w:rsidP="00593405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</w:pPr>
            <w:r w:rsidRPr="0059340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IE"/>
              </w:rPr>
              <w:t>Max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:rsidR="00C77F37" w:rsidRPr="00EA2FB8" w:rsidRDefault="00C77F37" w:rsidP="00593405">
            <w:pPr>
              <w:jc w:val="center"/>
            </w:pPr>
            <w:r w:rsidRPr="00EA2FB8">
              <w:t>12.5%</w:t>
            </w:r>
          </w:p>
        </w:tc>
      </w:tr>
    </w:tbl>
    <w:p w:rsidR="003F7D96" w:rsidRDefault="003F7D96" w:rsidP="003F7D96">
      <w:pPr>
        <w:spacing w:before="120" w:line="240" w:lineRule="auto"/>
        <w:rPr>
          <w:b/>
          <w:sz w:val="24"/>
          <w:u w:val="single"/>
        </w:rPr>
      </w:pPr>
    </w:p>
    <w:sectPr w:rsidR="003F7D96" w:rsidSect="0075197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endnote>
  <w:end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64" w:rsidRDefault="00111564">
    <w:pPr>
      <w:pStyle w:val="Footer"/>
    </w:pPr>
    <w:r w:rsidRPr="005147A7">
      <w:rPr>
        <w:b/>
        <w:noProof/>
        <w:u w:val="single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58021" wp14:editId="04715187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6647180" cy="371475"/>
              <wp:effectExtent l="0" t="0" r="1270" b="9525"/>
              <wp:wrapNone/>
              <wp:docPr id="4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7180" cy="371475"/>
                      </a:xfrm>
                      <a:custGeom>
                        <a:avLst/>
                        <a:gdLst>
                          <a:gd name="connsiteX0" fmla="*/ 7187878 w 7187878"/>
                          <a:gd name="connsiteY0" fmla="*/ 0 h 706055"/>
                          <a:gd name="connsiteX1" fmla="*/ 0 w 7187878"/>
                          <a:gd name="connsiteY1" fmla="*/ 0 h 706055"/>
                          <a:gd name="connsiteX2" fmla="*/ 0 w 7187878"/>
                          <a:gd name="connsiteY2" fmla="*/ 706055 h 706055"/>
                          <a:gd name="connsiteX3" fmla="*/ 6967959 w 7187878"/>
                          <a:gd name="connsiteY3" fmla="*/ 694481 h 706055"/>
                          <a:gd name="connsiteX4" fmla="*/ 7187878 w 7187878"/>
                          <a:gd name="connsiteY4" fmla="*/ 0 h 7060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187878" h="706055">
                            <a:moveTo>
                              <a:pt x="7187878" y="0"/>
                            </a:moveTo>
                            <a:lnTo>
                              <a:pt x="0" y="0"/>
                            </a:lnTo>
                            <a:lnTo>
                              <a:pt x="0" y="706055"/>
                            </a:lnTo>
                            <a:lnTo>
                              <a:pt x="6967959" y="694481"/>
                            </a:lnTo>
                            <a:lnTo>
                              <a:pt x="7187878" y="0"/>
                            </a:lnTo>
                            <a:close/>
                          </a:path>
                        </a:pathLst>
                      </a:custGeom>
                      <a:solidFill>
                        <a:srgbClr val="5261A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1564" w:rsidRDefault="00111564" w:rsidP="00111564">
                          <w:r>
                            <w:t xml:space="preserve">Irish Life Assurance plc is regulated by the Central Bank of Ireland.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1</w:t>
                          </w:r>
                          <w:r w:rsidRPr="005147A7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April 2020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58021" id="Freeform 3" o:spid="_x0000_s1026" style="position:absolute;margin-left:472.2pt;margin-top:12pt;width:523.4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187878,70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" adj="-11796480,,5400" path="m7187878,l,,,706055,6967959,694481,7187878,xe" fillcolor="#5261ac" stroked="f" strokeweight="2pt">
              <v:stroke joinstyle="miter"/>
              <v:formulas/>
              <v:path arrowok="t" o:connecttype="custom" o:connectlocs="6647180,0;0,0;0,371475;6443804,365386;6647180,0" o:connectangles="0,0,0,0,0" textboxrect="0,0,7187878,706055"/>
              <v:textbox>
                <w:txbxContent>
                  <w:p w:rsidR="00111564" w:rsidRDefault="00111564" w:rsidP="00111564">
                    <w:r>
                      <w:t>Irish Life Assurance plc is regulated by the Central Bank of Ireland.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>1</w:t>
                    </w:r>
                    <w:r w:rsidRPr="005147A7">
                      <w:rPr>
                        <w:vertAlign w:val="superscript"/>
                      </w:rPr>
                      <w:t>st</w:t>
                    </w:r>
                    <w:r>
                      <w:t xml:space="preserve"> April 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3D" w:rsidRDefault="00752C3D" w:rsidP="00111564">
      <w:pPr>
        <w:spacing w:before="0" w:after="0" w:line="240" w:lineRule="auto"/>
      </w:pPr>
      <w:r>
        <w:separator/>
      </w:r>
    </w:p>
  </w:footnote>
  <w:footnote w:type="continuationSeparator" w:id="0">
    <w:p w:rsidR="00752C3D" w:rsidRDefault="00752C3D" w:rsidP="001115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0" w:rsidRDefault="00A20EB0" w:rsidP="00A20EB0">
    <w:pPr>
      <w:pStyle w:val="Header"/>
      <w:jc w:val="right"/>
    </w:pPr>
    <w:r>
      <w:rPr>
        <w:rFonts w:ascii="Arial" w:hAnsi="Arial" w:cs="Arial"/>
        <w:b/>
        <w:bCs/>
        <w:noProof/>
        <w:color w:val="45555F"/>
        <w:lang w:eastAsia="en-IE"/>
      </w:rPr>
      <w:drawing>
        <wp:inline distT="0" distB="0" distL="0" distR="0" wp14:anchorId="757A5379" wp14:editId="70E13560">
          <wp:extent cx="1265125" cy="51374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if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25" cy="52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BD4"/>
    <w:multiLevelType w:val="hybridMultilevel"/>
    <w:tmpl w:val="CB3AF464"/>
    <w:lvl w:ilvl="0" w:tplc="927650F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F"/>
    <w:rsid w:val="00001F61"/>
    <w:rsid w:val="00007D07"/>
    <w:rsid w:val="00015373"/>
    <w:rsid w:val="000478D0"/>
    <w:rsid w:val="000526C8"/>
    <w:rsid w:val="0008132C"/>
    <w:rsid w:val="00084800"/>
    <w:rsid w:val="000945E4"/>
    <w:rsid w:val="00096C3D"/>
    <w:rsid w:val="000A43F4"/>
    <w:rsid w:val="000A631D"/>
    <w:rsid w:val="000B3765"/>
    <w:rsid w:val="000C348A"/>
    <w:rsid w:val="000D5DBF"/>
    <w:rsid w:val="000E552B"/>
    <w:rsid w:val="000F4B2F"/>
    <w:rsid w:val="00100AAF"/>
    <w:rsid w:val="00111564"/>
    <w:rsid w:val="00117163"/>
    <w:rsid w:val="00120231"/>
    <w:rsid w:val="00132DE4"/>
    <w:rsid w:val="001336ED"/>
    <w:rsid w:val="00134600"/>
    <w:rsid w:val="00140D10"/>
    <w:rsid w:val="001725C7"/>
    <w:rsid w:val="001744E3"/>
    <w:rsid w:val="001A3DA2"/>
    <w:rsid w:val="001A7EEB"/>
    <w:rsid w:val="001B0793"/>
    <w:rsid w:val="001B6856"/>
    <w:rsid w:val="001C5031"/>
    <w:rsid w:val="001C6783"/>
    <w:rsid w:val="001C6FBF"/>
    <w:rsid w:val="001D2B8C"/>
    <w:rsid w:val="001D6371"/>
    <w:rsid w:val="00217364"/>
    <w:rsid w:val="00226781"/>
    <w:rsid w:val="002354C0"/>
    <w:rsid w:val="00245A89"/>
    <w:rsid w:val="00246058"/>
    <w:rsid w:val="00272C9A"/>
    <w:rsid w:val="00281D3B"/>
    <w:rsid w:val="002835E2"/>
    <w:rsid w:val="00295DB0"/>
    <w:rsid w:val="002C2F24"/>
    <w:rsid w:val="002D3B0F"/>
    <w:rsid w:val="002D3F41"/>
    <w:rsid w:val="002E4F56"/>
    <w:rsid w:val="002F394D"/>
    <w:rsid w:val="00300E05"/>
    <w:rsid w:val="00305B1D"/>
    <w:rsid w:val="00321AF3"/>
    <w:rsid w:val="00322E40"/>
    <w:rsid w:val="00337777"/>
    <w:rsid w:val="003509B2"/>
    <w:rsid w:val="0037513B"/>
    <w:rsid w:val="003866A6"/>
    <w:rsid w:val="003971DF"/>
    <w:rsid w:val="003F3E24"/>
    <w:rsid w:val="003F7D96"/>
    <w:rsid w:val="003F7DE0"/>
    <w:rsid w:val="00400B12"/>
    <w:rsid w:val="0040562D"/>
    <w:rsid w:val="004109F9"/>
    <w:rsid w:val="00415930"/>
    <w:rsid w:val="00441AC5"/>
    <w:rsid w:val="00442173"/>
    <w:rsid w:val="00444CBA"/>
    <w:rsid w:val="00461071"/>
    <w:rsid w:val="00490785"/>
    <w:rsid w:val="00496D6A"/>
    <w:rsid w:val="004A04A1"/>
    <w:rsid w:val="004A24DE"/>
    <w:rsid w:val="004A6CBC"/>
    <w:rsid w:val="004B30DF"/>
    <w:rsid w:val="004B3A0C"/>
    <w:rsid w:val="004B3D06"/>
    <w:rsid w:val="004C68B5"/>
    <w:rsid w:val="004C76A3"/>
    <w:rsid w:val="005245E9"/>
    <w:rsid w:val="00526905"/>
    <w:rsid w:val="00532DF2"/>
    <w:rsid w:val="00563508"/>
    <w:rsid w:val="005644B4"/>
    <w:rsid w:val="00576D12"/>
    <w:rsid w:val="00585CCE"/>
    <w:rsid w:val="00590F0D"/>
    <w:rsid w:val="0059234F"/>
    <w:rsid w:val="00593405"/>
    <w:rsid w:val="005935C4"/>
    <w:rsid w:val="00593B86"/>
    <w:rsid w:val="005A2F58"/>
    <w:rsid w:val="005B0A77"/>
    <w:rsid w:val="005C6E66"/>
    <w:rsid w:val="005D0597"/>
    <w:rsid w:val="005E2E2C"/>
    <w:rsid w:val="005F09A5"/>
    <w:rsid w:val="00603573"/>
    <w:rsid w:val="00612391"/>
    <w:rsid w:val="00643CDD"/>
    <w:rsid w:val="006506A5"/>
    <w:rsid w:val="00654CE7"/>
    <w:rsid w:val="006563A3"/>
    <w:rsid w:val="0066001C"/>
    <w:rsid w:val="00667870"/>
    <w:rsid w:val="00675A3C"/>
    <w:rsid w:val="006809FF"/>
    <w:rsid w:val="006C41B3"/>
    <w:rsid w:val="006C64B8"/>
    <w:rsid w:val="006E4500"/>
    <w:rsid w:val="006F7D1C"/>
    <w:rsid w:val="00700380"/>
    <w:rsid w:val="00712781"/>
    <w:rsid w:val="00720028"/>
    <w:rsid w:val="0072153E"/>
    <w:rsid w:val="007260D0"/>
    <w:rsid w:val="00737176"/>
    <w:rsid w:val="00745BEC"/>
    <w:rsid w:val="00751974"/>
    <w:rsid w:val="00752C3D"/>
    <w:rsid w:val="007538AE"/>
    <w:rsid w:val="007543DA"/>
    <w:rsid w:val="007676ED"/>
    <w:rsid w:val="00777B5F"/>
    <w:rsid w:val="00797839"/>
    <w:rsid w:val="007A1440"/>
    <w:rsid w:val="007B0035"/>
    <w:rsid w:val="007C19DD"/>
    <w:rsid w:val="007F0A48"/>
    <w:rsid w:val="007F0B8E"/>
    <w:rsid w:val="00815435"/>
    <w:rsid w:val="0082523C"/>
    <w:rsid w:val="00833556"/>
    <w:rsid w:val="00833A8A"/>
    <w:rsid w:val="00840998"/>
    <w:rsid w:val="00847CC8"/>
    <w:rsid w:val="00932102"/>
    <w:rsid w:val="00943759"/>
    <w:rsid w:val="00957667"/>
    <w:rsid w:val="009729B4"/>
    <w:rsid w:val="0097448C"/>
    <w:rsid w:val="00975531"/>
    <w:rsid w:val="00976412"/>
    <w:rsid w:val="00991711"/>
    <w:rsid w:val="009A0709"/>
    <w:rsid w:val="009A5D6C"/>
    <w:rsid w:val="009C1016"/>
    <w:rsid w:val="009C41C7"/>
    <w:rsid w:val="009E1691"/>
    <w:rsid w:val="009F4B36"/>
    <w:rsid w:val="009F7B84"/>
    <w:rsid w:val="00A04661"/>
    <w:rsid w:val="00A076D5"/>
    <w:rsid w:val="00A20EB0"/>
    <w:rsid w:val="00A25835"/>
    <w:rsid w:val="00A348D9"/>
    <w:rsid w:val="00A37014"/>
    <w:rsid w:val="00A55DEB"/>
    <w:rsid w:val="00A60D82"/>
    <w:rsid w:val="00A65964"/>
    <w:rsid w:val="00A8154B"/>
    <w:rsid w:val="00A81A40"/>
    <w:rsid w:val="00AB304E"/>
    <w:rsid w:val="00AC67EF"/>
    <w:rsid w:val="00B07AF6"/>
    <w:rsid w:val="00B14E9A"/>
    <w:rsid w:val="00B217BA"/>
    <w:rsid w:val="00B317C3"/>
    <w:rsid w:val="00B32740"/>
    <w:rsid w:val="00B33D0B"/>
    <w:rsid w:val="00B3665E"/>
    <w:rsid w:val="00B40EB2"/>
    <w:rsid w:val="00B4595D"/>
    <w:rsid w:val="00B507A6"/>
    <w:rsid w:val="00B70F21"/>
    <w:rsid w:val="00BA095F"/>
    <w:rsid w:val="00BA7B39"/>
    <w:rsid w:val="00BC3612"/>
    <w:rsid w:val="00BD10C2"/>
    <w:rsid w:val="00C170AF"/>
    <w:rsid w:val="00C23627"/>
    <w:rsid w:val="00C2384A"/>
    <w:rsid w:val="00C37EB2"/>
    <w:rsid w:val="00C476FD"/>
    <w:rsid w:val="00C532C0"/>
    <w:rsid w:val="00C61D35"/>
    <w:rsid w:val="00C77F37"/>
    <w:rsid w:val="00CB3DC9"/>
    <w:rsid w:val="00CB5C5F"/>
    <w:rsid w:val="00CC602E"/>
    <w:rsid w:val="00CD7BC3"/>
    <w:rsid w:val="00CF548F"/>
    <w:rsid w:val="00D00C6F"/>
    <w:rsid w:val="00D112C9"/>
    <w:rsid w:val="00D203B1"/>
    <w:rsid w:val="00D210B0"/>
    <w:rsid w:val="00D21140"/>
    <w:rsid w:val="00D23381"/>
    <w:rsid w:val="00D407AD"/>
    <w:rsid w:val="00D673CD"/>
    <w:rsid w:val="00D75424"/>
    <w:rsid w:val="00D80EA7"/>
    <w:rsid w:val="00D91CF5"/>
    <w:rsid w:val="00D920A0"/>
    <w:rsid w:val="00DA017F"/>
    <w:rsid w:val="00DA10ED"/>
    <w:rsid w:val="00DE4F29"/>
    <w:rsid w:val="00DF554A"/>
    <w:rsid w:val="00DF7E4F"/>
    <w:rsid w:val="00E44958"/>
    <w:rsid w:val="00E46351"/>
    <w:rsid w:val="00E53D54"/>
    <w:rsid w:val="00E67B6B"/>
    <w:rsid w:val="00E70405"/>
    <w:rsid w:val="00E74BF0"/>
    <w:rsid w:val="00E77D59"/>
    <w:rsid w:val="00E925EB"/>
    <w:rsid w:val="00E945AC"/>
    <w:rsid w:val="00EA31D5"/>
    <w:rsid w:val="00EA6CC3"/>
    <w:rsid w:val="00EB15EE"/>
    <w:rsid w:val="00ED1DF9"/>
    <w:rsid w:val="00EF52F1"/>
    <w:rsid w:val="00F05D89"/>
    <w:rsid w:val="00F20138"/>
    <w:rsid w:val="00F34462"/>
    <w:rsid w:val="00F40A08"/>
    <w:rsid w:val="00F45720"/>
    <w:rsid w:val="00F5341C"/>
    <w:rsid w:val="00F70C40"/>
    <w:rsid w:val="00F73E5D"/>
    <w:rsid w:val="00F75C35"/>
    <w:rsid w:val="00F800DA"/>
    <w:rsid w:val="00F803DD"/>
    <w:rsid w:val="00F82A70"/>
    <w:rsid w:val="00F90A13"/>
    <w:rsid w:val="00F91363"/>
    <w:rsid w:val="00F95293"/>
    <w:rsid w:val="00FB1697"/>
    <w:rsid w:val="00FD0496"/>
    <w:rsid w:val="00FE15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4F3F5E-C6FA-44A4-9073-DAC44A3F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7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7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7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7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7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7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7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7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C67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7E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7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7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7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7E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67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7E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7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7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C67EF"/>
    <w:rPr>
      <w:b/>
      <w:bCs/>
    </w:rPr>
  </w:style>
  <w:style w:type="character" w:styleId="Emphasis">
    <w:name w:val="Emphasis"/>
    <w:uiPriority w:val="20"/>
    <w:qFormat/>
    <w:rsid w:val="00AC67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C67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67EF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AC6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67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67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7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7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67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67E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67E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67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67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7E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10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100AAF"/>
    <w:rPr>
      <w:color w:val="0000FF"/>
      <w:u w:val="single"/>
    </w:rPr>
  </w:style>
  <w:style w:type="table" w:styleId="TableGrid">
    <w:name w:val="Table Grid"/>
    <w:basedOn w:val="TableNormal"/>
    <w:uiPriority w:val="39"/>
    <w:rsid w:val="007371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1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909E-EE7D-488F-9343-57B9DA2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Cregan, Mary</dc:creator>
  <cp:lastModifiedBy>DIFFLEY, FIONA</cp:lastModifiedBy>
  <cp:revision>17</cp:revision>
  <cp:lastPrinted>2020-03-19T16:42:00Z</cp:lastPrinted>
  <dcterms:created xsi:type="dcterms:W3CDTF">2020-03-20T14:38:00Z</dcterms:created>
  <dcterms:modified xsi:type="dcterms:W3CDTF">2020-03-23T16:15:00Z</dcterms:modified>
</cp:coreProperties>
</file>